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93" w:rsidRDefault="00C76C93" w:rsidP="004C13B8">
      <w:pPr>
        <w:widowControl w:val="0"/>
        <w:spacing w:after="0" w:line="276" w:lineRule="auto"/>
        <w:ind w:left="113" w:right="113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eading=h.gjdgxs" w:colFirst="0" w:colLast="0"/>
      <w:bookmarkEnd w:id="0"/>
    </w:p>
    <w:p w:rsidR="00C76C93" w:rsidRPr="00C76C93" w:rsidRDefault="00C76C93" w:rsidP="004C13B8">
      <w:pPr>
        <w:widowControl w:val="0"/>
        <w:spacing w:after="0" w:line="276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Bando per la selezione di brevetti/domande di brevetto e relativi Progetti di </w:t>
      </w:r>
      <w:proofErr w:type="spellStart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>PoC</w:t>
      </w:r>
      <w:proofErr w:type="spellEnd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oggetto delle attività di valorizzazione relative al Programma di valorizzazione denominato </w:t>
      </w:r>
      <w:proofErr w:type="spellStart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>Power</w:t>
      </w:r>
      <w:proofErr w:type="spellEnd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>innovation</w:t>
      </w:r>
      <w:proofErr w:type="spellEnd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>PoC</w:t>
      </w:r>
      <w:proofErr w:type="spellEnd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NGEU, presentato dall’Università degli Studi di Milano-Bicocca nell’ambito del Bando per la realizzazione di programmi di valorizzazione dei brevetti tramite il finanziamento di progetti di </w:t>
      </w:r>
      <w:proofErr w:type="spellStart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>Proof</w:t>
      </w:r>
      <w:proofErr w:type="spellEnd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 </w:t>
      </w:r>
      <w:proofErr w:type="spellStart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>Concept</w:t>
      </w:r>
      <w:proofErr w:type="spellEnd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>PoC</w:t>
      </w:r>
      <w:proofErr w:type="spellEnd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delle Università italiane, degli Enti Pubblici di Ricerca (EPR) italiani e degli Istituti di ricovero e cura a carattere scientifico (IRCCS) da finanziare nell’ambito del Piano Nazionale di Ripresa e Resilienza, Missione 1 “Digitalizzazione, innovazione competitività, cultura e turismo” - Componente 2 “Digitalizzazione, innovazione e competitività nel sistema produttivo” Investimento 6 “Sistema della proprietà industriale” finanziato dall’Unione Europea </w:t>
      </w:r>
      <w:proofErr w:type="spellStart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>NextGenerationEU</w:t>
      </w:r>
      <w:proofErr w:type="spellEnd"/>
      <w:r w:rsidRPr="00C76C9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13B8" w:rsidRDefault="004C13B8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8A4" w:rsidRDefault="003978A4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ALLEGATO 1</w:t>
      </w:r>
    </w:p>
    <w:p w:rsidR="00FB260B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Progetto di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PoC</w:t>
      </w:r>
      <w:proofErr w:type="spellEnd"/>
    </w:p>
    <w:p w:rsidR="00FB260B" w:rsidRDefault="00FB260B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13B8" w:rsidRDefault="004C13B8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78A4" w:rsidRDefault="003978A4" w:rsidP="004C13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Inventore/inventrice referente:</w:t>
      </w:r>
    </w:p>
    <w:p w:rsidR="004C13B8" w:rsidRDefault="004C13B8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8A4" w:rsidRDefault="003978A4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78A4" w:rsidRDefault="003978A4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Eventuale secondo</w:t>
      </w:r>
      <w:r w:rsidR="00411C33"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inventore/inventrice referente:</w:t>
      </w:r>
    </w:p>
    <w:p w:rsidR="004C13B8" w:rsidRDefault="004C13B8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978A4" w:rsidRDefault="003978A4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60B" w:rsidRDefault="009A356A" w:rsidP="004C13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Denominazione del progetto ed eventuale acronimo:</w:t>
      </w:r>
    </w:p>
    <w:p w:rsidR="004C13B8" w:rsidRDefault="004C13B8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60B" w:rsidRDefault="00FB260B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60B" w:rsidRDefault="009A356A" w:rsidP="004C13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Livello attuale TRL del brevetto:</w:t>
      </w:r>
    </w:p>
    <w:p w:rsidR="004C13B8" w:rsidRDefault="004C13B8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60B" w:rsidRDefault="00FB260B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60B" w:rsidRDefault="009A356A" w:rsidP="004C13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Piano finanziario di progetto:</w:t>
      </w:r>
    </w:p>
    <w:p w:rsidR="00FB260B" w:rsidRDefault="00FB260B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62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0"/>
        <w:gridCol w:w="5029"/>
      </w:tblGrid>
      <w:tr w:rsidR="00FB260B">
        <w:trPr>
          <w:trHeight w:val="290"/>
        </w:trPr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Tipologia di costo</w:t>
            </w:r>
          </w:p>
        </w:tc>
        <w:tc>
          <w:tcPr>
            <w:tcW w:w="502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333F4F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Costi previsti (€)**</w:t>
            </w:r>
          </w:p>
        </w:tc>
      </w:tr>
      <w:tr w:rsidR="00FB260B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60B" w:rsidRDefault="003978A4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Personale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tempo indeterminato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20% totale costi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51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B260B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Materiali, attrezzature e licenze software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B260B">
        <w:trPr>
          <w:trHeight w:val="520"/>
        </w:trPr>
        <w:tc>
          <w:tcPr>
            <w:tcW w:w="4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Servizi di consulenza tecnologica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50% totale costi)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FB260B" w:rsidTr="003978A4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0000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Totale Costi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B260B" w:rsidRDefault="003978A4" w:rsidP="004C13B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€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.000,00</w:t>
            </w:r>
          </w:p>
        </w:tc>
      </w:tr>
      <w:tr w:rsidR="003978A4" w:rsidTr="003978A4">
        <w:trPr>
          <w:trHeight w:val="29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3978A4" w:rsidRDefault="003978A4" w:rsidP="004C13B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978A4" w:rsidTr="009B42A6">
        <w:trPr>
          <w:trHeight w:val="290"/>
        </w:trPr>
        <w:tc>
          <w:tcPr>
            <w:tcW w:w="9629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3978A4" w:rsidRDefault="003978A4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di cui</w:t>
            </w:r>
          </w:p>
        </w:tc>
      </w:tr>
      <w:tr w:rsidR="00FB260B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Finanziamento Richiesto 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€ 60.000,00</w:t>
            </w:r>
          </w:p>
        </w:tc>
      </w:tr>
      <w:tr w:rsidR="00FB260B">
        <w:trPr>
          <w:trHeight w:val="290"/>
        </w:trPr>
        <w:tc>
          <w:tcPr>
            <w:tcW w:w="4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Risorse in cofinanziamento a carico del Dipartimento</w:t>
            </w:r>
            <w:r w:rsidR="0039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(Personale </w:t>
            </w:r>
            <w:r w:rsidR="0039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tempo indeterminato </w:t>
            </w:r>
            <w:proofErr w:type="spellStart"/>
            <w:r w:rsidR="0039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max</w:t>
            </w:r>
            <w:proofErr w:type="spellEnd"/>
            <w:r w:rsidR="0039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20% totale costi</w:t>
            </w:r>
            <w:r w:rsidR="00397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e/o Fondi del Dipartimento</w:t>
            </w:r>
            <w:r w:rsidR="00E51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B260B" w:rsidRDefault="009A356A" w:rsidP="004C13B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€ 12.000,00</w:t>
            </w:r>
          </w:p>
        </w:tc>
      </w:tr>
    </w:tbl>
    <w:p w:rsidR="00FB260B" w:rsidRDefault="00FB260B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60B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IMPORTANTE: </w:t>
      </w:r>
    </w:p>
    <w:p w:rsidR="004C13B8" w:rsidRPr="004C13B8" w:rsidRDefault="004C13B8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* Si ricorda che </w:t>
      </w: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>a) almeno il 30% del personale eventualmente assunto nella realizzazione del Progetto sia di genere femminile, come previsto dall’art.47 “Pari opportunità, generazionali e di genere, nei contratti pubblici PNRR e PNC” del D.L. 31 maggio 2021, n. 77 convert</w:t>
      </w: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>ito in legge 29 luglio 2021, n. 108;</w:t>
      </w: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>b) almeno il 30% del personale eventualmente assunto per la realizzazione del Progetto sia di giovani, con età inferiore a trentasei anni, come previsto dall’art.47 “Pari opportunità, generazionali e di genere, nei cont</w:t>
      </w: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>ratti pubblici PNRR e PNC” del D.L. 31 maggio 2021, n. 77 convertito in legge 29 luglio 2021, n. 108.</w:t>
      </w:r>
    </w:p>
    <w:p w:rsidR="00FB260B" w:rsidRPr="004C13B8" w:rsidRDefault="00FB260B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** Si ricorda che ai sensi dell’Art. </w:t>
      </w:r>
      <w:r w:rsidR="00E51187" w:rsidRPr="004C13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 (Costi ammissibili) del Bando</w:t>
      </w:r>
      <w:r w:rsidR="00E51187" w:rsidRPr="004C13B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51187" w:rsidRPr="004C13B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ono ammissibili le seguenti spese: </w:t>
      </w: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a. personale: assunto a tempo indeterminato </w:t>
      </w: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e/o a tempo determinato (es. ricercatori, tecnici e altro personale di supporto) purché impegnato nelle attività dirette alla valorizzazione oggetto dei progetti di </w:t>
      </w:r>
      <w:proofErr w:type="spellStart"/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>PoC</w:t>
      </w:r>
      <w:proofErr w:type="spellEnd"/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>; I costi relativi al personale assunto a tempo indeterminato non potranno essere superi</w:t>
      </w: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ori al 20% del totale dei costi ammissibili; </w:t>
      </w: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>b. materiali, attrezzature e licenze software (se gli strumenti e le attrezzature non sono utilizzati per tutto il loro ciclo di vita per lo svolgimento delle attività progettuali, è considerata ammissibile uni</w:t>
      </w: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>camente la quota parte corrispondente alla durata del progetto; nel caso di attrezzature già presenti presso il soggetto proponente, è considerata ammissibile la relativa quota di utilizzo);</w:t>
      </w: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>c. servizi di consulenza specialistica tecnologica (tali costi no</w:t>
      </w:r>
      <w:r w:rsidRPr="004C13B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 potranno essere superiori al 50% del totale dei costi ammissibili). </w:t>
      </w:r>
    </w:p>
    <w:p w:rsidR="00FB260B" w:rsidRPr="004C13B8" w:rsidRDefault="00E51187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8">
        <w:rPr>
          <w:rFonts w:ascii="Times New Roman" w:eastAsia="Times New Roman" w:hAnsi="Times New Roman" w:cs="Times New Roman"/>
          <w:sz w:val="24"/>
          <w:szCs w:val="24"/>
        </w:rPr>
        <w:t>2. L’</w:t>
      </w:r>
      <w:r w:rsidR="009A356A" w:rsidRPr="004C13B8">
        <w:rPr>
          <w:rFonts w:ascii="Times New Roman" w:eastAsia="Times New Roman" w:hAnsi="Times New Roman" w:cs="Times New Roman"/>
          <w:sz w:val="24"/>
          <w:szCs w:val="24"/>
        </w:rPr>
        <w:t>imposta sul valore aggiunto (IVA) è un costo ammissibile solo se questa non sia recuperabile nel rispetto della normativa nazionale di riferimento. Tale importo dovrà tuttavia esse</w:t>
      </w:r>
      <w:r w:rsidR="009A356A" w:rsidRPr="004C13B8">
        <w:rPr>
          <w:rFonts w:ascii="Times New Roman" w:eastAsia="Times New Roman" w:hAnsi="Times New Roman" w:cs="Times New Roman"/>
          <w:sz w:val="24"/>
          <w:szCs w:val="24"/>
        </w:rPr>
        <w:t>re puntualmente tracciato per ogni progetto nei sistemi informatici gestionali, in quanto non è incluso nell’ambito della stima dei costi progettuali ai fini del PNRR.</w:t>
      </w: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8">
        <w:rPr>
          <w:rFonts w:ascii="Times New Roman" w:eastAsia="Times New Roman" w:hAnsi="Times New Roman" w:cs="Times New Roman"/>
          <w:sz w:val="24"/>
          <w:szCs w:val="24"/>
        </w:rPr>
        <w:t>3. L’imposta regionale sulle attività produttive (IRAP) non è un costo ammissibile. Ogni</w:t>
      </w:r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 altro tributo od onere fiscale, previdenziale e assicurativo costituisce spesa ammissibile nel limite in cui non sia recuperabile e purché direttamente afferente all’intervento finanziato.</w:t>
      </w: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13B8">
        <w:rPr>
          <w:rFonts w:ascii="Times New Roman" w:eastAsia="Times New Roman" w:hAnsi="Times New Roman" w:cs="Times New Roman"/>
          <w:sz w:val="24"/>
          <w:szCs w:val="24"/>
        </w:rPr>
        <w:t>4. Le spese rendicontate non devono essere finanziate da altre fon</w:t>
      </w:r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ti del bilancio dell’Unione europea o da altri fondi pubblici, inclusi i meccanismi di natura fiscale quali il credito di imposta, e devono rispettare il principio di </w:t>
      </w:r>
      <w:proofErr w:type="spellStart"/>
      <w:r w:rsidRPr="004C13B8">
        <w:rPr>
          <w:rFonts w:ascii="Times New Roman" w:eastAsia="Times New Roman" w:hAnsi="Times New Roman" w:cs="Times New Roman"/>
          <w:sz w:val="24"/>
          <w:szCs w:val="24"/>
        </w:rPr>
        <w:t>addizionalità</w:t>
      </w:r>
      <w:proofErr w:type="spellEnd"/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 del sostegno dell’Unione europea in ottemperanza a quanto previsto dall’art</w:t>
      </w:r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icolo 9 del Regolamento (UE) 2021/241e </w:t>
      </w:r>
      <w:proofErr w:type="spellStart"/>
      <w:r w:rsidRPr="004C13B8">
        <w:rPr>
          <w:rFonts w:ascii="Times New Roman" w:eastAsia="Times New Roman" w:hAnsi="Times New Roman" w:cs="Times New Roman"/>
          <w:sz w:val="24"/>
          <w:szCs w:val="24"/>
        </w:rPr>
        <w:t>ss.</w:t>
      </w:r>
      <w:proofErr w:type="gramStart"/>
      <w:r w:rsidRPr="004C13B8">
        <w:rPr>
          <w:rFonts w:ascii="Times New Roman" w:eastAsia="Times New Roman" w:hAnsi="Times New Roman" w:cs="Times New Roman"/>
          <w:sz w:val="24"/>
          <w:szCs w:val="24"/>
        </w:rPr>
        <w:t>mm.ii</w:t>
      </w:r>
      <w:proofErr w:type="spellEnd"/>
      <w:r w:rsidRPr="004C13B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60B" w:rsidRPr="004C13B8" w:rsidRDefault="009A356A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C13B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13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C13B8">
        <w:rPr>
          <w:rFonts w:ascii="Times New Roman" w:eastAsia="Times New Roman" w:hAnsi="Times New Roman" w:cs="Times New Roman"/>
          <w:sz w:val="24"/>
          <w:szCs w:val="24"/>
        </w:rPr>
        <w:t>Saranno considerate ammissibili le spese sostenute a decorrere dalla data di sottoscrizione, da parte del soggetto proponente, dell’atto di concessione del finanziamento.</w:t>
      </w:r>
    </w:p>
    <w:p w:rsidR="00FB260B" w:rsidRDefault="00FB260B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13B8" w:rsidRDefault="004C13B8" w:rsidP="004C13B8">
      <w:pPr>
        <w:widowControl w:val="0"/>
        <w:shd w:val="clear" w:color="auto" w:fill="FFFFFF"/>
        <w:tabs>
          <w:tab w:val="left" w:pos="426"/>
        </w:tabs>
        <w:spacing w:after="0" w:line="276" w:lineRule="auto"/>
        <w:ind w:left="425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B260B" w:rsidRDefault="009A356A" w:rsidP="004C13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Descrizione degli obiettivi che si intendono perseguire e dei risultati attesi con la valorizzazione del brevetto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2.500 parole)</w:t>
      </w:r>
      <w:r w:rsidR="00E511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B260B" w:rsidRDefault="00FB260B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3B8" w:rsidRDefault="004C13B8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3B8" w:rsidRDefault="004C13B8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60B" w:rsidRDefault="009A356A" w:rsidP="004C13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Descrizione delle attività e delle tempistiche di realizzazione del progetto, considerando una durata massima non superior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a 18 mesi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2.500 parole)</w:t>
      </w:r>
      <w:r w:rsidR="00E5118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C13B8" w:rsidRDefault="004C13B8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3B8" w:rsidRDefault="004C13B8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3B8" w:rsidRDefault="004C13B8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260B" w:rsidRDefault="00FB260B" w:rsidP="004C13B8">
      <w:pPr>
        <w:spacing w:after="0" w:line="276" w:lineRule="auto"/>
        <w:ind w:left="720"/>
        <w:contextualSpacing/>
      </w:pPr>
    </w:p>
    <w:p w:rsidR="00411C33" w:rsidRDefault="00411C33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C33">
        <w:rPr>
          <w:rFonts w:ascii="Times New Roman" w:eastAsia="Times New Roman" w:hAnsi="Times New Roman" w:cs="Times New Roman"/>
          <w:color w:val="000000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della firma digitale</w:t>
      </w:r>
    </w:p>
    <w:p w:rsidR="00411C33" w:rsidRPr="00411C33" w:rsidRDefault="00411C33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C33" w:rsidRPr="004C13B8" w:rsidRDefault="00411C33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13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Firma digitale</w:t>
      </w:r>
    </w:p>
    <w:p w:rsidR="00411C33" w:rsidRDefault="00411C33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11C33">
        <w:rPr>
          <w:rFonts w:ascii="Times New Roman" w:eastAsia="Times New Roman" w:hAnsi="Times New Roman" w:cs="Times New Roman"/>
          <w:color w:val="000000"/>
          <w:sz w:val="24"/>
          <w:szCs w:val="24"/>
        </w:rPr>
        <w:t>Inventore/Inventrice referente</w:t>
      </w:r>
    </w:p>
    <w:p w:rsidR="00411C33" w:rsidRDefault="00411C33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1C33" w:rsidRPr="004C13B8" w:rsidRDefault="00411C33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C13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Firma</w:t>
      </w:r>
      <w:r w:rsidRPr="004C13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digitale</w:t>
      </w:r>
    </w:p>
    <w:p w:rsidR="00411C33" w:rsidRDefault="00411C33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econdo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inventore/inventrice referente</w:t>
      </w:r>
    </w:p>
    <w:p w:rsidR="00411C33" w:rsidRDefault="00411C33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                 </w:t>
      </w:r>
    </w:p>
    <w:p w:rsidR="00411C33" w:rsidRPr="004C13B8" w:rsidRDefault="00411C33" w:rsidP="004C13B8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</w:tabs>
        <w:spacing w:after="0" w:line="276" w:lineRule="auto"/>
        <w:ind w:left="720"/>
        <w:contextualSpacing/>
        <w:jc w:val="center"/>
        <w:rPr>
          <w:i/>
          <w:sz w:val="16"/>
          <w:szCs w:val="16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4C13B8">
        <w:rPr>
          <w:i/>
          <w:color w:val="000000"/>
          <w:sz w:val="20"/>
          <w:szCs w:val="20"/>
        </w:rPr>
        <w:t xml:space="preserve">   </w:t>
      </w:r>
      <w:r w:rsidRPr="004C13B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Firmato digitalment</w:t>
      </w:r>
      <w:bookmarkStart w:id="2" w:name="_GoBack"/>
      <w:bookmarkEnd w:id="2"/>
      <w:r w:rsidRPr="004C13B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e ai sensi del </w:t>
      </w:r>
      <w:proofErr w:type="spellStart"/>
      <w:proofErr w:type="gramStart"/>
      <w:r w:rsidRPr="004C13B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D.Lgs</w:t>
      </w:r>
      <w:proofErr w:type="gramEnd"/>
      <w:r w:rsidRPr="004C13B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</w:t>
      </w:r>
      <w:proofErr w:type="spellEnd"/>
      <w:r w:rsidRPr="004C13B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n.82/2005 e </w:t>
      </w:r>
      <w:proofErr w:type="spellStart"/>
      <w:r w:rsidRPr="004C13B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ss.</w:t>
      </w:r>
      <w:proofErr w:type="gramStart"/>
      <w:r w:rsidRPr="004C13B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mm.ii</w:t>
      </w:r>
      <w:proofErr w:type="spellEnd"/>
      <w:r w:rsidRPr="004C13B8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.</w:t>
      </w:r>
      <w:proofErr w:type="gramEnd"/>
    </w:p>
    <w:sectPr w:rsidR="00411C33" w:rsidRPr="004C13B8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56A" w:rsidRDefault="009A356A" w:rsidP="003978A4">
      <w:pPr>
        <w:spacing w:after="0" w:line="240" w:lineRule="auto"/>
      </w:pPr>
      <w:r>
        <w:separator/>
      </w:r>
    </w:p>
  </w:endnote>
  <w:endnote w:type="continuationSeparator" w:id="0">
    <w:p w:rsidR="009A356A" w:rsidRDefault="009A356A" w:rsidP="0039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56A" w:rsidRDefault="009A356A" w:rsidP="003978A4">
      <w:pPr>
        <w:spacing w:after="0" w:line="240" w:lineRule="auto"/>
      </w:pPr>
      <w:r>
        <w:separator/>
      </w:r>
    </w:p>
  </w:footnote>
  <w:footnote w:type="continuationSeparator" w:id="0">
    <w:p w:rsidR="009A356A" w:rsidRDefault="009A356A" w:rsidP="00397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A4" w:rsidRDefault="003978A4">
    <w:pPr>
      <w:pStyle w:val="Intestazione"/>
    </w:pPr>
    <w:r>
      <w:rPr>
        <w:noProof/>
        <w:color w:val="000000"/>
        <w:sz w:val="24"/>
        <w:szCs w:val="24"/>
      </w:rPr>
      <w:drawing>
        <wp:anchor distT="0" distB="0" distL="0" distR="0" simplePos="0" relativeHeight="251659264" behindDoc="1" locked="0" layoutInCell="1" hidden="0" allowOverlap="1" wp14:anchorId="7A40261B" wp14:editId="0A02DCA3">
          <wp:simplePos x="0" y="0"/>
          <wp:positionH relativeFrom="page">
            <wp:posOffset>739140</wp:posOffset>
          </wp:positionH>
          <wp:positionV relativeFrom="page">
            <wp:posOffset>439420</wp:posOffset>
          </wp:positionV>
          <wp:extent cx="1652886" cy="361603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2886" cy="361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w:drawing>
        <wp:anchor distT="0" distB="0" distL="114300" distR="114300" simplePos="0" relativeHeight="251661312" behindDoc="0" locked="0" layoutInCell="1" hidden="0" allowOverlap="1" wp14:anchorId="43440124" wp14:editId="22EC96F9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522238" cy="517525"/>
          <wp:effectExtent l="0" t="0" r="1905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l="25599" t="33407" r="23125" b="34162"/>
                  <a:stretch>
                    <a:fillRect/>
                  </a:stretch>
                </pic:blipFill>
                <pic:spPr>
                  <a:xfrm>
                    <a:off x="0" y="0"/>
                    <a:ext cx="1522238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817"/>
    <w:multiLevelType w:val="multilevel"/>
    <w:tmpl w:val="6FC8B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0B"/>
    <w:rsid w:val="00140C5D"/>
    <w:rsid w:val="003978A4"/>
    <w:rsid w:val="00411C33"/>
    <w:rsid w:val="004C13B8"/>
    <w:rsid w:val="009A356A"/>
    <w:rsid w:val="00C76C93"/>
    <w:rsid w:val="00C92398"/>
    <w:rsid w:val="00E51187"/>
    <w:rsid w:val="00FB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67F4D"/>
  <w15:docId w15:val="{D7FDD2F1-2400-43B7-89A7-881E8C19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6452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C2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6452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97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8A4"/>
  </w:style>
  <w:style w:type="paragraph" w:styleId="Pidipagina">
    <w:name w:val="footer"/>
    <w:basedOn w:val="Normale"/>
    <w:link w:val="PidipaginaCarattere"/>
    <w:uiPriority w:val="99"/>
    <w:unhideWhenUsed/>
    <w:rsid w:val="00397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sCOREV7uGEg6hXpIesIIH9ZqTw==">AMUW2mWgD5OfNtNktJDY+1h1ShkbFVROqPZrnJHzCn93pZ0yMYJt6egyP2twj8d6nJyT2kve8MqO0KvvZsk5Cp87ANU1Jea3FZaz3aDY7ve/MTQ1R9O2uCmxtmTFISkqOnjy3vcRuJvs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loris.mazzagatti@unimib.it</dc:creator>
  <cp:lastModifiedBy>loris.mazzagatti@unimib.it</cp:lastModifiedBy>
  <cp:revision>8</cp:revision>
  <cp:lastPrinted>2023-05-17T06:41:00Z</cp:lastPrinted>
  <dcterms:created xsi:type="dcterms:W3CDTF">2023-05-17T09:50:00Z</dcterms:created>
  <dcterms:modified xsi:type="dcterms:W3CDTF">2023-05-17T10:07:00Z</dcterms:modified>
</cp:coreProperties>
</file>