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6CB94" w14:textId="77777777" w:rsidR="0097652B" w:rsidRDefault="0097652B" w:rsidP="004F2565">
      <w:pPr>
        <w:keepNext/>
        <w:keepLines/>
        <w:pBdr>
          <w:top w:val="nil"/>
          <w:left w:val="nil"/>
          <w:bottom w:val="nil"/>
          <w:right w:val="nil"/>
          <w:between w:val="nil"/>
        </w:pBdr>
        <w:spacing w:before="40" w:after="0" w:line="259" w:lineRule="auto"/>
        <w:ind w:left="720" w:hanging="360"/>
        <w:jc w:val="both"/>
        <w:rPr>
          <w:color w:val="366091"/>
          <w:sz w:val="26"/>
          <w:szCs w:val="26"/>
        </w:rPr>
      </w:pPr>
    </w:p>
    <w:p w14:paraId="00000001" w14:textId="0600086D" w:rsidR="00064B07" w:rsidRDefault="00232075" w:rsidP="004F2565">
      <w:pPr>
        <w:keepNext/>
        <w:keepLines/>
        <w:pBdr>
          <w:top w:val="nil"/>
          <w:left w:val="nil"/>
          <w:bottom w:val="nil"/>
          <w:right w:val="nil"/>
          <w:between w:val="nil"/>
        </w:pBdr>
        <w:spacing w:before="40" w:after="0" w:line="259" w:lineRule="auto"/>
        <w:ind w:left="720" w:hanging="360"/>
        <w:jc w:val="both"/>
        <w:rPr>
          <w:color w:val="366091"/>
          <w:sz w:val="26"/>
          <w:szCs w:val="26"/>
        </w:rPr>
      </w:pPr>
      <w:r>
        <w:rPr>
          <w:color w:val="366091"/>
          <w:sz w:val="26"/>
          <w:szCs w:val="26"/>
        </w:rPr>
        <w:t>Allegato 1.</w:t>
      </w:r>
      <w:r>
        <w:rPr>
          <w:color w:val="366091"/>
          <w:sz w:val="26"/>
          <w:szCs w:val="26"/>
        </w:rPr>
        <w:tab/>
        <w:t>Principali definizioni applicabili al bando</w:t>
      </w:r>
    </w:p>
    <w:p w14:paraId="4A4FEA1B" w14:textId="77777777" w:rsidR="00BD4FDE" w:rsidRDefault="00BD4FDE" w:rsidP="004F2565">
      <w:pPr>
        <w:keepNext/>
        <w:keepLines/>
        <w:pBdr>
          <w:top w:val="nil"/>
          <w:left w:val="nil"/>
          <w:bottom w:val="nil"/>
          <w:right w:val="nil"/>
          <w:between w:val="nil"/>
        </w:pBdr>
        <w:spacing w:before="40" w:after="0" w:line="259" w:lineRule="auto"/>
        <w:ind w:left="720" w:hanging="360"/>
        <w:jc w:val="both"/>
        <w:rPr>
          <w:color w:val="366091"/>
          <w:sz w:val="26"/>
          <w:szCs w:val="26"/>
        </w:rPr>
      </w:pPr>
    </w:p>
    <w:p w14:paraId="6938BB77" w14:textId="2C027380" w:rsidR="00FA4121" w:rsidRPr="009B580A" w:rsidRDefault="00FA4121" w:rsidP="004F2565">
      <w:pPr>
        <w:jc w:val="both"/>
        <w:rPr>
          <w:rFonts w:asciiTheme="minorHAnsi" w:hAnsiTheme="minorHAnsi" w:cstheme="minorHAnsi"/>
          <w:b/>
          <w:bCs/>
        </w:rPr>
      </w:pPr>
      <w:r w:rsidRPr="009B580A">
        <w:rPr>
          <w:rFonts w:asciiTheme="minorHAnsi" w:hAnsiTheme="minorHAnsi" w:cstheme="minorHAnsi"/>
          <w:b/>
          <w:bCs/>
        </w:rPr>
        <w:t>Avviso pubblico per la presentazione di progetti di proof of concept (PoC) e prototipazione per gli Organismi di ricerca e diffusione della conoscenza, ‘bandi a cascata’ da finanziare nell’ambito del PNRR, Misura 4 Componente 2 Investimento 1.5 –</w:t>
      </w:r>
      <w:r w:rsidR="004F2565">
        <w:rPr>
          <w:rFonts w:asciiTheme="minorHAnsi" w:hAnsiTheme="minorHAnsi" w:cstheme="minorHAnsi"/>
          <w:b/>
          <w:bCs/>
        </w:rPr>
        <w:t xml:space="preserve"> </w:t>
      </w:r>
      <w:r w:rsidRPr="009B580A">
        <w:rPr>
          <w:rFonts w:asciiTheme="minorHAnsi" w:hAnsiTheme="minorHAnsi" w:cstheme="minorHAnsi"/>
          <w:b/>
          <w:bCs/>
        </w:rPr>
        <w:t xml:space="preserve">Programma di ricerca e innovazione “MUSA – </w:t>
      </w:r>
      <w:proofErr w:type="spellStart"/>
      <w:r w:rsidRPr="009B580A">
        <w:rPr>
          <w:rFonts w:asciiTheme="minorHAnsi" w:hAnsiTheme="minorHAnsi" w:cstheme="minorHAnsi"/>
          <w:b/>
          <w:bCs/>
        </w:rPr>
        <w:t>Multilayered</w:t>
      </w:r>
      <w:proofErr w:type="spellEnd"/>
      <w:r w:rsidRPr="009B580A">
        <w:rPr>
          <w:rFonts w:asciiTheme="minorHAnsi" w:hAnsiTheme="minorHAnsi" w:cstheme="minorHAnsi"/>
          <w:b/>
          <w:bCs/>
        </w:rPr>
        <w:t xml:space="preserve"> Urban Sustainability Action” ECS_00000037, finanziato dall’Unione europea – NextGenerationEU</w:t>
      </w:r>
      <w:r>
        <w:rPr>
          <w:rFonts w:asciiTheme="minorHAnsi" w:hAnsiTheme="minorHAnsi" w:cstheme="minorHAnsi"/>
          <w:b/>
          <w:bCs/>
        </w:rPr>
        <w:t xml:space="preserve"> – CUP </w:t>
      </w:r>
      <w:r w:rsidRPr="00D955DC">
        <w:rPr>
          <w:rFonts w:asciiTheme="minorHAnsi" w:hAnsiTheme="minorHAnsi" w:cstheme="minorHAnsi"/>
          <w:b/>
          <w:bCs/>
        </w:rPr>
        <w:t>H43C22000550001</w:t>
      </w:r>
      <w:r>
        <w:rPr>
          <w:rFonts w:asciiTheme="minorHAnsi" w:hAnsiTheme="minorHAnsi" w:cstheme="minorHAnsi"/>
          <w:b/>
          <w:bCs/>
        </w:rPr>
        <w:t xml:space="preserve"> – SPOKE 6</w:t>
      </w:r>
    </w:p>
    <w:p w14:paraId="00000004" w14:textId="77777777" w:rsidR="00064B07" w:rsidRDefault="00064B07" w:rsidP="004F2565">
      <w:pPr>
        <w:jc w:val="both"/>
        <w:rPr>
          <w:b/>
        </w:rPr>
      </w:pPr>
    </w:p>
    <w:p w14:paraId="00000027" w14:textId="77777777" w:rsidR="00064B07" w:rsidRPr="004F2565" w:rsidRDefault="00232075" w:rsidP="004F2565">
      <w:pPr>
        <w:jc w:val="both"/>
      </w:pPr>
      <w:r w:rsidRPr="004F2565">
        <w:rPr>
          <w:b/>
        </w:rPr>
        <w:t>Organismo di ricerca (o Organismo di ricerca e di diffusione delle conoscenze):</w:t>
      </w:r>
      <w:r w:rsidRPr="004F2565">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00000028" w14:textId="77777777" w:rsidR="00064B07" w:rsidRPr="004F2565" w:rsidRDefault="00232075" w:rsidP="004F2565">
      <w:pPr>
        <w:spacing w:after="0"/>
        <w:jc w:val="both"/>
      </w:pPr>
      <w:r w:rsidRPr="004F2565">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00000029" w14:textId="77777777" w:rsidR="00064B07" w:rsidRPr="004F2565" w:rsidRDefault="00232075" w:rsidP="004F2565">
      <w:pPr>
        <w:spacing w:after="0"/>
        <w:jc w:val="both"/>
      </w:pPr>
      <w:r w:rsidRPr="004F2565">
        <w:t>a) principali attività degli organismi di ricerca e delle infrastrutture di ricerca, in particolare:</w:t>
      </w:r>
    </w:p>
    <w:p w14:paraId="0000002A" w14:textId="77777777" w:rsidR="00064B07" w:rsidRPr="004F2565" w:rsidRDefault="00232075" w:rsidP="004F2565">
      <w:pPr>
        <w:spacing w:after="0"/>
        <w:jc w:val="both"/>
      </w:pPr>
      <w:r w:rsidRPr="004F2565">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0000002B" w14:textId="77777777" w:rsidR="00064B07" w:rsidRPr="004F2565" w:rsidRDefault="00232075" w:rsidP="004F2565">
      <w:pPr>
        <w:spacing w:after="0"/>
        <w:jc w:val="both"/>
      </w:pPr>
      <w:r w:rsidRPr="004F2565">
        <w:t>— le attività di R&amp;S svolte in maniera indipendente e volte all’acquisizione di maggiori conoscenze e di una migliore comprensione, inclusa la R&amp;S collaborativa, nel cui ambito un organismo di ricerca o l’infrastruttura di ricerca intraprendono un’effettiva collaborazione. La fornitura di servizi di R&amp;S e le attività di R&amp;S svolte per conto di imprese non sono considerate attività R&amp;S indipendenti.</w:t>
      </w:r>
    </w:p>
    <w:p w14:paraId="0000002C" w14:textId="77777777" w:rsidR="00064B07" w:rsidRPr="004F2565" w:rsidRDefault="00232075" w:rsidP="004F2565">
      <w:pPr>
        <w:spacing w:after="0"/>
        <w:jc w:val="both"/>
      </w:pPr>
      <w:r w:rsidRPr="004F2565">
        <w:lastRenderedPageBreak/>
        <w:t>— l’ampia diffusione dei risultati della ricerca su base non esclusiva e non discriminatoria, ad esempio attraverso l’insegnamento, le banche dati ad accesso aperto, le pubblicazioni aperte o il software open source.</w:t>
      </w:r>
    </w:p>
    <w:p w14:paraId="0000002D" w14:textId="77777777" w:rsidR="00064B07" w:rsidRPr="004F2565" w:rsidRDefault="00232075" w:rsidP="004F2565">
      <w:pPr>
        <w:spacing w:after="0"/>
        <w:jc w:val="both"/>
      </w:pPr>
      <w:r w:rsidRPr="004F2565">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400932BF" w14:textId="77777777" w:rsidR="0097652B" w:rsidRPr="004F2565" w:rsidRDefault="0097652B" w:rsidP="004F2565">
      <w:pPr>
        <w:spacing w:after="0"/>
        <w:jc w:val="both"/>
      </w:pPr>
    </w:p>
    <w:p w14:paraId="0000002E" w14:textId="3BECB057" w:rsidR="00064B07" w:rsidRPr="004F2565" w:rsidRDefault="00232075" w:rsidP="004F2565">
      <w:pPr>
        <w:spacing w:after="0"/>
        <w:jc w:val="both"/>
      </w:pPr>
      <w:r w:rsidRPr="004F2565">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0000002F" w14:textId="77777777" w:rsidR="00064B07" w:rsidRPr="004F2565" w:rsidRDefault="00064B07" w:rsidP="004F2565">
      <w:pPr>
        <w:jc w:val="both"/>
      </w:pPr>
    </w:p>
    <w:p w14:paraId="00000030" w14:textId="77777777" w:rsidR="00064B07" w:rsidRPr="004F2565" w:rsidRDefault="00232075" w:rsidP="004F2565">
      <w:pPr>
        <w:jc w:val="both"/>
      </w:pPr>
      <w:r w:rsidRPr="004F2565">
        <w:rPr>
          <w:b/>
        </w:rPr>
        <w:t>Ricerca industriale</w:t>
      </w:r>
      <w:r w:rsidRPr="004F2565">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00000031" w14:textId="77777777" w:rsidR="00064B07" w:rsidRPr="004F2565" w:rsidRDefault="00232075" w:rsidP="004F2565">
      <w:pPr>
        <w:jc w:val="both"/>
      </w:pPr>
      <w:r w:rsidRPr="004F2565">
        <w:rPr>
          <w:b/>
        </w:rPr>
        <w:t>Sviluppo sperimentale:</w:t>
      </w:r>
      <w:r w:rsidRPr="004F2565">
        <w:t xml:space="preserv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w:t>
      </w:r>
      <w:r w:rsidRPr="004F2565">
        <w:lastRenderedPageBreak/>
        <w:t xml:space="preserve">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w:t>
      </w:r>
      <w:proofErr w:type="gramStart"/>
      <w:r w:rsidRPr="004F2565">
        <w:t>a  prodotti</w:t>
      </w:r>
      <w:proofErr w:type="gramEnd"/>
      <w:r w:rsidRPr="004F2565">
        <w:t>, linee di produzione, processi di fabbricazione e servizi esistenti e ad altre operazioni in corso, anche quando tali modifiche rappresentino miglioramenti.</w:t>
      </w:r>
    </w:p>
    <w:p w14:paraId="634A8F38" w14:textId="77777777" w:rsidR="0097652B" w:rsidRPr="004F2565" w:rsidRDefault="00232075" w:rsidP="004F2565">
      <w:pPr>
        <w:jc w:val="both"/>
      </w:pPr>
      <w:r w:rsidRPr="004F2565">
        <w:rPr>
          <w:b/>
        </w:rPr>
        <w:t>Collaborazione effettiva:</w:t>
      </w:r>
      <w:r w:rsidRPr="004F2565">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00000032" w14:textId="638AEA47" w:rsidR="00064B07" w:rsidRPr="004F2565" w:rsidRDefault="00232075" w:rsidP="004F2565">
      <w:pPr>
        <w:jc w:val="both"/>
        <w:rPr>
          <w:highlight w:val="white"/>
        </w:rPr>
      </w:pPr>
      <w:r w:rsidRPr="004F2565">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00000033" w14:textId="77777777" w:rsidR="00064B07" w:rsidRPr="004F2565" w:rsidRDefault="00232075" w:rsidP="004F2565">
      <w:pPr>
        <w:spacing w:before="240" w:after="240"/>
        <w:jc w:val="both"/>
        <w:rPr>
          <w:highlight w:val="white"/>
        </w:rPr>
      </w:pPr>
      <w:r w:rsidRPr="004F2565">
        <w:rPr>
          <w:b/>
          <w:highlight w:val="white"/>
        </w:rPr>
        <w:t xml:space="preserve">Hub: </w:t>
      </w:r>
      <w:r w:rsidRPr="004F2565">
        <w:rPr>
          <w:highlight w:val="white"/>
        </w:rPr>
        <w:t>Soggetto attuatore, responsabile dell’avvio, dell’attuazione e della gestione dell’Ecosistema dell’Innovazione. In particolare, l’art.1, comma 4, lett. o) del decreto-legge 31 maggio 2021, n. 77, convertito con modificazioni dalla legge 29 luglio 2021 n. 108, indica che i soggetti attuatori sono: “i soggetti pubblici o privati che provvedono alla realizzazione degli interventi previsti dal PNRR”.</w:t>
      </w:r>
    </w:p>
    <w:p w14:paraId="00000034" w14:textId="77777777" w:rsidR="00064B07" w:rsidRPr="004F2565" w:rsidRDefault="00232075" w:rsidP="004F2565">
      <w:pPr>
        <w:jc w:val="both"/>
      </w:pPr>
      <w:r w:rsidRPr="004F2565">
        <w:rPr>
          <w:b/>
        </w:rPr>
        <w:t>Spoke</w:t>
      </w:r>
      <w:r w:rsidRPr="004F2565">
        <w:t>: Soggetto realizzatore, soggetto pubblico o operatore economico privato coinvolto nella realizzazione del Programma di R&amp;I ed individuato nel rispetto della normativa comunitaria e nazionale applicabile.; Esso svolge direttamente parte delle attività ad essi attribuite dal Progetto e si avvale di altri soggetti per lo svolgimento delle restanti attività: (i) i soggetti affiliati allo Spoke, già noti (ii) soggetti terzi da individuare mediante i bandi a cascata di cui all’art. 5 dell’Avviso del Ministero dell’Università e della Ricerca del 30 dicembre 2021 n. 3277 finalizzato alla creazione di dodici Ecosistemi dell’innovazione sul territorio nazionale.</w:t>
      </w:r>
    </w:p>
    <w:p w14:paraId="00000035" w14:textId="77777777" w:rsidR="00064B07" w:rsidRPr="004F2565" w:rsidRDefault="00232075" w:rsidP="004F2565">
      <w:pPr>
        <w:jc w:val="both"/>
      </w:pPr>
      <w:r w:rsidRPr="004F2565">
        <w:rPr>
          <w:b/>
        </w:rPr>
        <w:t>Intensità di aiuto:</w:t>
      </w:r>
      <w:r w:rsidRPr="004F2565">
        <w:t xml:space="preserve"> importo lordo dell'aiuto espresso come percentuale dei costi ammissibili, al lordo di imposte o altri oneri.</w:t>
      </w:r>
    </w:p>
    <w:p w14:paraId="00000036" w14:textId="77777777" w:rsidR="00064B07" w:rsidRPr="004F2565" w:rsidRDefault="00232075" w:rsidP="004F2565">
      <w:pPr>
        <w:jc w:val="both"/>
      </w:pPr>
      <w:r w:rsidRPr="004F2565">
        <w:rPr>
          <w:b/>
        </w:rPr>
        <w:t>Avvio dei lavori:</w:t>
      </w:r>
      <w:r w:rsidRPr="004F2565">
        <w:t xml:space="preserve"> la data del primo impegno giuridicamente vincolante ad ordinare attrezzature o di qualsiasi altro impegno che renda irreversibile l'investimento, a seconda di quale condizione si verifichi prima.</w:t>
      </w:r>
    </w:p>
    <w:p w14:paraId="00000037" w14:textId="77777777" w:rsidR="00064B07" w:rsidRDefault="00064B07" w:rsidP="004F2565">
      <w:pPr>
        <w:jc w:val="both"/>
      </w:pPr>
    </w:p>
    <w:sectPr w:rsidR="00064B07">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627F" w14:textId="77777777" w:rsidR="0004365B" w:rsidRDefault="0004365B" w:rsidP="0097652B">
      <w:pPr>
        <w:spacing w:after="0" w:line="240" w:lineRule="auto"/>
      </w:pPr>
      <w:r>
        <w:separator/>
      </w:r>
    </w:p>
  </w:endnote>
  <w:endnote w:type="continuationSeparator" w:id="0">
    <w:p w14:paraId="38501070" w14:textId="77777777" w:rsidR="0004365B" w:rsidRDefault="0004365B" w:rsidP="0097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8CF48" w14:textId="77777777" w:rsidR="001F39B7" w:rsidRDefault="001F39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B3820" w14:textId="4F549B42" w:rsidR="0097652B" w:rsidRDefault="0097652B">
    <w:pPr>
      <w:pStyle w:val="Pidipagina"/>
    </w:pPr>
  </w:p>
  <w:p w14:paraId="5A2D55FB" w14:textId="165B19D0" w:rsidR="0097652B" w:rsidRDefault="001F39B7">
    <w:pPr>
      <w:pStyle w:val="Pidipagina"/>
    </w:pPr>
    <w:r>
      <w:rPr>
        <w:noProof/>
      </w:rPr>
      <w:drawing>
        <wp:inline distT="0" distB="0" distL="0" distR="0" wp14:anchorId="04C62E4B" wp14:editId="41EAA706">
          <wp:extent cx="1009650" cy="115174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76" cy="1173559"/>
                  </a:xfrm>
                  <a:prstGeom prst="rect">
                    <a:avLst/>
                  </a:prstGeom>
                </pic:spPr>
              </pic:pic>
            </a:graphicData>
          </a:graphic>
        </wp:inline>
      </w:drawing>
    </w:r>
    <w:r>
      <w:t xml:space="preserve">                            </w:t>
    </w:r>
    <w:r w:rsidR="0097652B">
      <w:t xml:space="preserve">                                                                                                      </w:t>
    </w:r>
    <w:r w:rsidR="0097652B">
      <w:rPr>
        <w:noProof/>
      </w:rPr>
      <w:drawing>
        <wp:inline distT="0" distB="0" distL="0" distR="0" wp14:anchorId="18963E8A" wp14:editId="56E9E74F">
          <wp:extent cx="791845" cy="861695"/>
          <wp:effectExtent l="0" t="0" r="8255" b="0"/>
          <wp:docPr id="228" name="Immagine 228" descr="Immagine che contiene testo, Carattere,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magine 228" descr="Immagine che contiene testo, Carattere,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57EF8" w14:textId="77777777" w:rsidR="001F39B7" w:rsidRDefault="001F39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7C1E" w14:textId="77777777" w:rsidR="0004365B" w:rsidRDefault="0004365B" w:rsidP="0097652B">
      <w:pPr>
        <w:spacing w:after="0" w:line="240" w:lineRule="auto"/>
      </w:pPr>
      <w:r>
        <w:separator/>
      </w:r>
    </w:p>
  </w:footnote>
  <w:footnote w:type="continuationSeparator" w:id="0">
    <w:p w14:paraId="3DB886C3" w14:textId="77777777" w:rsidR="0004365B" w:rsidRDefault="0004365B" w:rsidP="0097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2FA2" w14:textId="77777777" w:rsidR="001F39B7" w:rsidRDefault="001F39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9627B" w14:textId="653765F1" w:rsidR="0097652B" w:rsidRDefault="0097652B">
    <w:pPr>
      <w:pStyle w:val="Intestazione"/>
    </w:pPr>
    <w:r w:rsidRPr="0097652B">
      <w:rPr>
        <w:rFonts w:ascii="Times New Roman" w:eastAsia="Times New Roman" w:hAnsi="Times New Roman" w:cs="Times New Roman"/>
        <w:noProof/>
        <w:sz w:val="24"/>
        <w:szCs w:val="24"/>
      </w:rPr>
      <w:drawing>
        <wp:inline distT="0" distB="0" distL="0" distR="0" wp14:anchorId="5D9C3C78" wp14:editId="4DC8B5BD">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p w14:paraId="2CDBA5C2" w14:textId="77777777" w:rsidR="0097652B" w:rsidRDefault="009765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F824" w14:textId="77777777" w:rsidR="001F39B7" w:rsidRDefault="001F39B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B07"/>
    <w:rsid w:val="0004365B"/>
    <w:rsid w:val="00064B07"/>
    <w:rsid w:val="001F39B7"/>
    <w:rsid w:val="00232075"/>
    <w:rsid w:val="002B0DD6"/>
    <w:rsid w:val="004B6218"/>
    <w:rsid w:val="004F2565"/>
    <w:rsid w:val="00805E74"/>
    <w:rsid w:val="0097652B"/>
    <w:rsid w:val="00B7117B"/>
    <w:rsid w:val="00BD4FDE"/>
    <w:rsid w:val="00BF7E66"/>
    <w:rsid w:val="00CC37A2"/>
    <w:rsid w:val="00D129C5"/>
    <w:rsid w:val="00E41BE1"/>
    <w:rsid w:val="00FA4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7248"/>
  <w15:docId w15:val="{3D563E9D-AC57-B743-A5C5-51D77714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 w:type="paragraph" w:styleId="Revisione">
    <w:name w:val="Revision"/>
    <w:hidden/>
    <w:uiPriority w:val="99"/>
    <w:semiHidden/>
    <w:rsid w:val="004F25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6us2mnKTMkWUJXiPYB5naPJd+Q==">CgMxLjAyCGguZ2pkZ3hzOAByITFyZVRMejFXUFVnSjc2RWc1YzRPTVlDY04tQkVVT0NaQw==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1412</Words>
  <Characters>8052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claudia.gloazzo@unimib.it</dc:creator>
  <cp:lastModifiedBy>claudia.gloazzo@unimib.it</cp:lastModifiedBy>
  <cp:revision>4</cp:revision>
  <dcterms:created xsi:type="dcterms:W3CDTF">2023-11-17T09:07:00Z</dcterms:created>
  <dcterms:modified xsi:type="dcterms:W3CDTF">2023-11-17T10:56:00Z</dcterms:modified>
</cp:coreProperties>
</file>